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15437">
      <w:pPr>
        <w:adjustRightInd w:val="0"/>
        <w:snapToGrid w:val="0"/>
        <w:spacing w:line="540" w:lineRule="exact"/>
        <w:jc w:val="left"/>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附件1</w:t>
      </w:r>
    </w:p>
    <w:p w14:paraId="21330776">
      <w:pPr>
        <w:adjustRightInd w:val="0"/>
        <w:snapToGrid w:val="0"/>
        <w:spacing w:line="540" w:lineRule="exact"/>
        <w:jc w:val="center"/>
        <w:rPr>
          <w:rFonts w:ascii="方正小标宋简体" w:hAnsi="黑体" w:eastAsia="方正小标宋简体"/>
          <w:kern w:val="32"/>
          <w:sz w:val="44"/>
          <w:szCs w:val="44"/>
          <w:highlight w:val="none"/>
        </w:rPr>
      </w:pPr>
      <w:r>
        <w:rPr>
          <w:rFonts w:hint="eastAsia" w:ascii="方正小标宋简体" w:hAnsi="仿宋" w:eastAsia="方正小标宋简体"/>
          <w:snapToGrid w:val="0"/>
          <w:kern w:val="32"/>
          <w:sz w:val="44"/>
          <w:szCs w:val="44"/>
          <w:highlight w:val="none"/>
        </w:rPr>
        <w:t>技术要求</w:t>
      </w:r>
    </w:p>
    <w:p w14:paraId="7C1ED206">
      <w:pPr>
        <w:adjustRightInd w:val="0"/>
        <w:snapToGrid w:val="0"/>
        <w:spacing w:line="500" w:lineRule="exact"/>
        <w:ind w:firstLine="560" w:firstLineChars="200"/>
        <w:jc w:val="left"/>
        <w:rPr>
          <w:rFonts w:ascii="仿宋" w:hAnsi="仿宋" w:eastAsia="仿宋" w:cs="仿宋"/>
          <w:sz w:val="28"/>
          <w:szCs w:val="28"/>
        </w:rPr>
      </w:pPr>
      <w:bookmarkStart w:id="0" w:name="_Toc496175933"/>
      <w:r>
        <w:rPr>
          <w:rFonts w:hint="eastAsia" w:ascii="仿宋" w:hAnsi="仿宋" w:eastAsia="仿宋" w:cs="仿宋"/>
          <w:sz w:val="28"/>
          <w:szCs w:val="28"/>
        </w:rPr>
        <w:t>（一）业务名称</w:t>
      </w:r>
    </w:p>
    <w:p w14:paraId="338BA67A">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杭州湾海域地质浅钻</w:t>
      </w:r>
    </w:p>
    <w:p w14:paraId="78FD3B2A">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（二）主要工作内容和工作量</w:t>
      </w:r>
    </w:p>
    <w:p w14:paraId="5AED3C78">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完成杭州湾海域地质钻探2口，总进尺70m</w:t>
      </w:r>
    </w:p>
    <w:p w14:paraId="2E5F78B5">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（三）其他技术要求</w:t>
      </w:r>
    </w:p>
    <w:p w14:paraId="1C78F786">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（1）文件编制依据</w:t>
      </w:r>
    </w:p>
    <w:p w14:paraId="63852F3F">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主要依据：</w:t>
      </w:r>
    </w:p>
    <w:p w14:paraId="192DB783">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总项目任务书及年度实施方案</w:t>
      </w:r>
    </w:p>
    <w:p w14:paraId="1AB589AB">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DZ/T 0255-2014海洋区域地质调查规范（1∶50 000）</w:t>
      </w:r>
    </w:p>
    <w:p w14:paraId="6E63C07E">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DZ/T 0208-2020 矿产地质勘查规范 金属砂矿类</w:t>
      </w:r>
    </w:p>
    <w:p w14:paraId="13A4E537">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DZ/T 0227-2010 地质岩心钻探规程</w:t>
      </w:r>
    </w:p>
    <w:p w14:paraId="7A6E24BA">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DZ/T 0486-2024 固体矿产勘查钻孔质量要求</w:t>
      </w:r>
    </w:p>
    <w:p w14:paraId="7D8E8824">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（2）作业平台要求：</w:t>
      </w:r>
    </w:p>
    <w:p w14:paraId="79881C6E">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作业平台：合理选用作业平台进行钻探作业，在安全前提下，保质保量完成钻探任务。平台在作业区内具备定位能力；作业甲板面积足够储存样品并安排2名监理人员工作；同时配备专用海洋地质钻探钻机和专用地质绞车；配有通信设备，可与调度中心保持通畅通信。</w:t>
      </w:r>
    </w:p>
    <w:p w14:paraId="4AE5E3D2">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定位：采用DGPS导航定位系统，数据更新率：≥1Hz，定位卫星数：≥4，定位精度优于5m。坐标转换采用CGCS-2000坐标系，高斯－克吕格投影。</w:t>
      </w:r>
    </w:p>
    <w:p w14:paraId="7BA28EF4">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（3）一般要求</w:t>
      </w:r>
    </w:p>
    <w:p w14:paraId="7A575F42">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施工单位应根据项目工作设计并参考DZ/T0227要求编制钻探设计书。</w:t>
      </w:r>
    </w:p>
    <w:p w14:paraId="1B2219CC">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施工前，采购人向施工单位交代工作区地质概况和设计要求，下发技术文件和资料；施工期间采用采购人提供的各类通知书、记录表及报告表格式进行记录和报告。</w:t>
      </w:r>
    </w:p>
    <w:p w14:paraId="3209C761">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优先采用先进的钻探方法，降低劳动强度，实现绿色高效、安全环保，取得好的经济效益和社会效益。</w:t>
      </w:r>
    </w:p>
    <w:p w14:paraId="5199633C">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按照设计要求组织钻探施工。施工中如发生设计变更，应经过采购人批准。</w:t>
      </w:r>
    </w:p>
    <w:p w14:paraId="04B88ED7">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建立健全各项管理制度，做好安全生产管理、员工健康管理、环境保护管理等工作。</w:t>
      </w:r>
    </w:p>
    <w:p w14:paraId="0D53769A">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（4）施工管理要求</w:t>
      </w:r>
    </w:p>
    <w:p w14:paraId="16106FB2">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开工前检查：开工前，采购人和施工单位联合组织地质、钻探、安全等人员对钻探船或平台、钻探设备安装进行现场检查验收。检查验收的主要内容包括地质要求、机械设备及安装、附属设备、人员配置、安全设施、文明施工、规章制度、技术文件等，并进行安全技术交底。</w:t>
      </w:r>
    </w:p>
    <w:p w14:paraId="1701EAB0">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钻孔布设：采购人设计钻孔位置，施工单位派测量人员实地测定孔位；测定孔位时，双方人员共同到现场确定。钻孔实际就位误差≤10m。</w:t>
      </w:r>
    </w:p>
    <w:p w14:paraId="325F07D8">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开孔前检查：由采购人代表参照“开工前检查”内容进行检查，检查合格后开孔；检查不合格应现场整改。</w:t>
      </w:r>
    </w:p>
    <w:p w14:paraId="40C88EAA">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钻探施工：</w:t>
      </w:r>
    </w:p>
    <w:p w14:paraId="77BEA117">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岩矿芯编号和岩芯牌填写应字迹清晰，数据准确，可长期保存。岩芯不得被泥浆污染，密封包装。岩芯需按回次（或管号）整齐堆放固定，并需保存在安全位置，避免日晒、雨淋和其他意外损坏。</w:t>
      </w:r>
    </w:p>
    <w:p w14:paraId="029A3BC5">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采取率未达到设计要求，应查找原因并采取补救措施，必要时停钻研究解决。需要补采时，采购方地质人员发出通知书，由钻探施工单位组织实施。</w:t>
      </w:r>
    </w:p>
    <w:p w14:paraId="472A89A3">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钻进过程中如果发生走位，则重新定位并进行扫孔、取样。扫孔位置距离有效取样孔位置偏差控制在3m左右，取样重叠长度不小于3m。</w:t>
      </w:r>
    </w:p>
    <w:p w14:paraId="3B627B84">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终孔验收：钻孔达到设计深度，或采购人现场相关专业技术和管理人员代表认为达到完钻条件需提前终孔，对钻孔进行初步验收。验收合格并下达终孔通知书后方可终孔。</w:t>
      </w:r>
    </w:p>
    <w:p w14:paraId="24532AA6">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设计深度变更：地质条件变化需要改变钻孔设计深度时，由采购方和施工单位人员共同商定，填写变更通知书签字后实施。</w:t>
      </w:r>
    </w:p>
    <w:p w14:paraId="53CEF02A">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生态环境保护：使用环境影响最小化的钻探方案，钻探船只调用、设备搬迁不得污染钻场周边的海域。终孔后冲洗液应进行回收或固化处理；废弃油料、钻屑、垃圾等进行无害化处理。</w:t>
      </w:r>
    </w:p>
    <w:p w14:paraId="13E64804">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岩矿芯移交：终孔验收结束后，施工单位应将岩矿芯等实物资料移交给采购人，填写岩矿芯移交接收单。</w:t>
      </w:r>
    </w:p>
    <w:p w14:paraId="6E788C54">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技术档案归档：钻探工程竣工后，应对钻探过程中所形成的且具有保存价值的文字、图、表等技术材料进行整理、归纳、总结，建立钻探工程技术档案，提交原始记录报表移交清单，并编制总结报告1份。</w:t>
      </w:r>
    </w:p>
    <w:p w14:paraId="5C870B59">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（5）钻探质量要求</w:t>
      </w:r>
    </w:p>
    <w:p w14:paraId="7B330660">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取芯规格：全孔采用不扰动连续取芯，岩心管内径≥110mm。</w:t>
      </w:r>
    </w:p>
    <w:p w14:paraId="1C200345">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回次进尺：泥质地层的回次进尺不得大于1.5m，砂质地层的回次进尺长度不得大于1 m。</w:t>
      </w:r>
    </w:p>
    <w:p w14:paraId="60503C3D">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岩矿芯采取率：泥质层分层采取率≥85%，砂质层分层采取率≥65%，岩芯采取率不得连续两次不满足技术要求。对于粗砾石层（或卵石层）不做取芯率要求，但必须获取一定样品。</w:t>
      </w:r>
    </w:p>
    <w:p w14:paraId="4B9D6891">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孔深误差测量及校正：每回次测量水深，以便校准进尺深度，依据孔内钻柱长度测量和标定孔深误差，应使用计量认证合格的钢尺测量钻柱单根长度。终孔时，孔深误差不得超过1%，超差时应重复测量并找出原因，修正班报表。</w:t>
      </w:r>
    </w:p>
    <w:p w14:paraId="28E983D6">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原始报表：按回次记录，使用黑色碳素笔填写原始报表，内容真实、准确、完整，字迹清楚，不追记、补记和涂改。</w:t>
      </w:r>
    </w:p>
    <w:p w14:paraId="14FBBBA4">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（6）其他要求：</w:t>
      </w:r>
    </w:p>
    <w:p w14:paraId="012BFAAE">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需自行协调施工区域内航通及养殖户补偿事宜。</w:t>
      </w:r>
    </w:p>
    <w:p w14:paraId="277B5AF4">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采购经费包含本次钻探工作完成并移交岩芯、资料前所需的全部材料、运输费用，采购人不予报销本项目相关的其他费用。</w:t>
      </w:r>
    </w:p>
    <w:p w14:paraId="380531A5">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近五年内有在杭州湾或杭州湾邻近海域从事地质钻探的施工案例和经验。</w:t>
      </w:r>
    </w:p>
    <w:p w14:paraId="78B6721E">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平台施工作业期间需提供采购方至少2名监理人员作业空间及餐食。</w:t>
      </w:r>
      <w:bookmarkStart w:id="1" w:name="_Toc168671789"/>
      <w:bookmarkStart w:id="2" w:name="_Toc156391132"/>
    </w:p>
    <w:p w14:paraId="5AAC15D5">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（四）经费控制数</w:t>
      </w:r>
    </w:p>
    <w:p w14:paraId="6C570567">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43</w:t>
      </w:r>
      <w:r>
        <w:rPr>
          <w:rFonts w:hint="eastAsia" w:ascii="仿宋" w:hAnsi="仿宋" w:eastAsia="仿宋" w:cs="仿宋"/>
          <w:sz w:val="28"/>
          <w:szCs w:val="28"/>
        </w:rPr>
        <w:t>万元。</w:t>
      </w:r>
    </w:p>
    <w:bookmarkEnd w:id="0"/>
    <w:bookmarkEnd w:id="1"/>
    <w:bookmarkEnd w:id="2"/>
    <w:p w14:paraId="271670D6">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五</w:t>
      </w:r>
      <w:r>
        <w:rPr>
          <w:rFonts w:hint="eastAsia" w:ascii="仿宋" w:hAnsi="仿宋" w:eastAsia="仿宋" w:cs="仿宋"/>
          <w:sz w:val="28"/>
          <w:szCs w:val="28"/>
        </w:rPr>
        <w:t>）实施周期</w:t>
      </w:r>
    </w:p>
    <w:p w14:paraId="4E26F361">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合同签订生效之日起至 2026年12月31</w:t>
      </w:r>
      <w:bookmarkStart w:id="3" w:name="_GoBack"/>
      <w:bookmarkEnd w:id="3"/>
      <w:r>
        <w:rPr>
          <w:rFonts w:hint="eastAsia" w:ascii="仿宋" w:hAnsi="仿宋" w:eastAsia="仿宋" w:cs="仿宋"/>
          <w:sz w:val="28"/>
          <w:szCs w:val="28"/>
        </w:rPr>
        <w:t>日，核心工作节点需满足委托方进度要求。</w:t>
      </w:r>
    </w:p>
    <w:p w14:paraId="6815E718">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六</w:t>
      </w:r>
      <w:r>
        <w:rPr>
          <w:rFonts w:hint="eastAsia" w:ascii="仿宋" w:hAnsi="仿宋" w:eastAsia="仿宋" w:cs="仿宋"/>
          <w:sz w:val="28"/>
          <w:szCs w:val="28"/>
        </w:rPr>
        <w:t>）付款方式</w:t>
      </w:r>
    </w:p>
    <w:p w14:paraId="3AF92461">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（1）合同签订并且委托方在收到项目专用财政拨款后10日内，向受托方约定的账户支付合同经费50%作为第一期项目经费；</w:t>
      </w:r>
    </w:p>
    <w:p w14:paraId="1E93E043">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（2）在完成全部野外钻探工作，通过野外验收与施工总结评审，并移交岩矿芯后10日内，委托方向受托方支付合同经费40%作为第二期项目经费；</w:t>
      </w:r>
    </w:p>
    <w:p w14:paraId="04E656BC">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（3）受托方提交合同约定全部技术资料，并完成归档后10日内，委托方向受托方约定的账户支付合同经费10%作为第三期项目经费。</w:t>
      </w:r>
    </w:p>
    <w:p w14:paraId="57695ABC">
      <w:pPr>
        <w:adjustRightInd w:val="0"/>
        <w:snapToGrid w:val="0"/>
        <w:spacing w:line="500" w:lineRule="exact"/>
        <w:ind w:firstLine="560" w:firstLineChars="200"/>
        <w:jc w:val="left"/>
        <w:rPr>
          <w:rFonts w:ascii="仿宋" w:hAnsi="仿宋" w:eastAsia="仿宋" w:cs="仿宋"/>
          <w:sz w:val="28"/>
          <w:szCs w:val="28"/>
        </w:rPr>
      </w:pPr>
    </w:p>
    <w:p w14:paraId="149667E8">
      <w:pPr>
        <w:rPr>
          <w:rFonts w:ascii="仿宋" w:hAnsi="仿宋" w:eastAsia="仿宋"/>
          <w:sz w:val="32"/>
          <w:szCs w:val="32"/>
          <w:highlight w:val="yellow"/>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7087A">
    <w:pPr>
      <w:pStyle w:val="5"/>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9F3"/>
    <w:rsid w:val="00032F74"/>
    <w:rsid w:val="000653C7"/>
    <w:rsid w:val="00122860"/>
    <w:rsid w:val="00134532"/>
    <w:rsid w:val="001E3FC6"/>
    <w:rsid w:val="00216AD9"/>
    <w:rsid w:val="002F05D2"/>
    <w:rsid w:val="00351031"/>
    <w:rsid w:val="00354D5A"/>
    <w:rsid w:val="00456604"/>
    <w:rsid w:val="004B03D5"/>
    <w:rsid w:val="004E5AD3"/>
    <w:rsid w:val="00575323"/>
    <w:rsid w:val="005E09D0"/>
    <w:rsid w:val="00635659"/>
    <w:rsid w:val="006D768D"/>
    <w:rsid w:val="006F09F3"/>
    <w:rsid w:val="0071599A"/>
    <w:rsid w:val="007522F1"/>
    <w:rsid w:val="007A51BF"/>
    <w:rsid w:val="007B2E74"/>
    <w:rsid w:val="008402AA"/>
    <w:rsid w:val="00887517"/>
    <w:rsid w:val="008C4BCE"/>
    <w:rsid w:val="00945731"/>
    <w:rsid w:val="009B4E2B"/>
    <w:rsid w:val="009C33E9"/>
    <w:rsid w:val="00AA1A73"/>
    <w:rsid w:val="00BA10A2"/>
    <w:rsid w:val="00BA6A67"/>
    <w:rsid w:val="00BB3850"/>
    <w:rsid w:val="00BC10C5"/>
    <w:rsid w:val="00C5184F"/>
    <w:rsid w:val="00C7477A"/>
    <w:rsid w:val="00CA76EE"/>
    <w:rsid w:val="00CF3F98"/>
    <w:rsid w:val="00D97B5D"/>
    <w:rsid w:val="00DD2C09"/>
    <w:rsid w:val="00E03D9D"/>
    <w:rsid w:val="00E15FC8"/>
    <w:rsid w:val="00E70F35"/>
    <w:rsid w:val="00E73EB2"/>
    <w:rsid w:val="00EA3827"/>
    <w:rsid w:val="00F42819"/>
    <w:rsid w:val="00F65C04"/>
    <w:rsid w:val="00FC320E"/>
    <w:rsid w:val="3EFC344D"/>
    <w:rsid w:val="6BDF3113"/>
    <w:rsid w:val="6FBFE801"/>
    <w:rsid w:val="7DFCB7A3"/>
    <w:rsid w:val="A7EB5621"/>
    <w:rsid w:val="F7DF3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link w:val="13"/>
    <w:qFormat/>
    <w:uiPriority w:val="0"/>
    <w:pPr>
      <w:keepNext/>
      <w:keepLines/>
      <w:spacing w:before="260" w:after="260" w:line="416" w:lineRule="auto"/>
      <w:jc w:val="center"/>
      <w:outlineLvl w:val="1"/>
    </w:pPr>
    <w:rPr>
      <w:rFonts w:ascii="楷体_GB2312" w:hAnsi="Arial" w:eastAsia="楷体_GB2312"/>
      <w:b/>
      <w:sz w:val="32"/>
      <w:szCs w:val="2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unhideWhenUsed/>
    <w:qFormat/>
    <w:uiPriority w:val="39"/>
    <w:pPr>
      <w:tabs>
        <w:tab w:val="right" w:leader="dot" w:pos="8302"/>
      </w:tabs>
    </w:pPr>
  </w:style>
  <w:style w:type="paragraph" w:styleId="7">
    <w:name w:val="toc 2"/>
    <w:basedOn w:val="1"/>
    <w:next w:val="1"/>
    <w:autoRedefine/>
    <w:unhideWhenUsed/>
    <w:qFormat/>
    <w:uiPriority w:val="39"/>
    <w:pPr>
      <w:ind w:left="420" w:leftChars="200"/>
    </w:pPr>
  </w:style>
  <w:style w:type="character" w:styleId="10">
    <w:name w:val="Hyperlink"/>
    <w:unhideWhenUsed/>
    <w:qFormat/>
    <w:uiPriority w:val="99"/>
    <w:rPr>
      <w:color w:val="0000FF"/>
      <w:u w:val="single"/>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标题 2 Char"/>
    <w:basedOn w:val="9"/>
    <w:link w:val="2"/>
    <w:qFormat/>
    <w:uiPriority w:val="0"/>
    <w:rPr>
      <w:rFonts w:ascii="楷体_GB2312" w:hAnsi="Arial" w:eastAsia="楷体_GB2312" w:cs="Times New Roman"/>
      <w:b/>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1696</Words>
  <Characters>9669</Characters>
  <Lines>80</Lines>
  <Paragraphs>22</Paragraphs>
  <TotalTime>5</TotalTime>
  <ScaleCrop>false</ScaleCrop>
  <LinksUpToDate>false</LinksUpToDate>
  <CharactersWithSpaces>11343</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2026-01-28T02:35:00Z</dcterms:created>
  <dc:creator>ZLT</dc:creator>
  <cp:lastModifiedBy>qinlin</cp:lastModifiedBy>
  <dcterms:modified xsi:type="dcterms:W3CDTF">2026-03-10T14:36:58Z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23091763F829E2306B16A969D45B1F3F_43</vt:lpwstr>
  </property>
</Properties>
</file>